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36 vom 23. April 2024</w:t>
      </w:r>
    </w:p>
    <w:p>
      <w:r>
        <w:t>VS Kantonsgericht, 2024-04-23, FR</w:t>
      </w:r>
    </w:p>
    <w:p>
      <w:r>
        <w:rPr>
          <w:b/>
        </w:rPr>
        <w:t xml:space="preserve">Quelle: </w:t>
      </w:r>
      <w:r>
        <w:t>https://mcp.opencaselaw.ch/entscheid/vs_gerichte_S2 22 36</w:t>
      </w:r>
    </w:p>
    <w:p>
      <w:r>
        <w:t>FR: VS_GERICHTE S2 22 36 du 23 avril 2024</w:t>
      </w:r>
    </w:p>
    <w:p>
      <w:r>
        <w:t>IT: VS_GERICHTE S2 22 36 del 23 aprile 2024</w:t>
      </w:r>
    </w:p>
    <w:p>
      <w:pPr>
        <w:pStyle w:val="Heading2"/>
      </w:pPr>
      <w:r>
        <w:t>Regeste</w:t>
      </w:r>
    </w:p>
    <w:p>
      <w:r>
        <w:t>S2 22 36 ARRÊT DU 23 AVRIL 2024 Tribunal cantonal du Valais Cour des assurances sociales Composition : Candido Prada, président ; Frédéric Fellay et Christophe Joris, juges ; Mireille Allegro, greffière en la cause X _________, recourant, représenté par les Syndicats Chrétiens du Valais, à Sion contre ZURICH COMPAGNIE D'ASSURANCES SA, intimée (lien de causalité ; statu quo sine/ante)</w:t>
      </w:r>
    </w:p>
    <w:p>
      <w:pPr>
        <w:pStyle w:val="Heading2"/>
      </w:pPr>
      <w:r>
        <w:t>Erwägungen</w:t>
      </w:r>
    </w:p>
    <w:p>
      <w:r>
        <w:rPr>
          <w:b/>
        </w:rPr>
        <w:t>E. 1</w:t>
      </w:r>
    </w:p>
    <w:p>
      <w:r>
        <w:t>Selon l'article 1 alinéa 1 LAA, les dispositions de la LPGA s'appliquent à l'assurance- accidents, à moins que la LAA n'y déroge expressément. Remis à la poste le 25 avril 2022, le présent recours à l'encontre de la décision sur opposition du 10 mars précédent, a été interjeté, compte tenu des féries de Pâques, dans le délai légal de trente jours (art. 38 al. 4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du recourant à des prestations de l’assurance-accidents au-delà du 1er décembre 2020 pour les suites de l’accident du 15 septembre 2020.</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En l’espèce, l’assureur a admis que l’événement du 15 septembre 2020 était un accident, ce que le recourant n’a nullement contesté, et aucun rapport ne fait mention d’une lésion corporelle au sens de l’article 6 alinéa 2 LAA (absence de toute mention de déchirure du ménisque).</w:t>
      </w:r>
    </w:p>
    <w:p>
      <w:r>
        <w:rPr>
          <w:b/>
        </w:rPr>
        <w:t>E. 2.3</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w:t>
      </w:r>
    </w:p>
    <w:p>
      <w:r>
        <w:t>- 7 -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et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déjà cité).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w:t>
      </w:r>
    </w:p>
    <w:p>
      <w:r>
        <w:t>- 8 -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arrêt du Tribunal fédéral 8C_169/2019 du 10 mars 2020 consid. 5.3).</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w:t>
      </w:r>
    </w:p>
    <w:p>
      <w:r>
        <w:t>- 9 -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 arrêt du Tribunal fédéral des assurances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 142 V 58 consid. 5.1 ; 139 V 225 consid. 5.2 et 135 V 465 consid. 4.6 ; arrêt du Tribunal fédéral 9C_108/2011 du 24 octobre 2011 consid. 2.2).</w:t>
      </w:r>
    </w:p>
    <w:p>
      <w:r>
        <w:t>- 10 -</w:t>
      </w:r>
    </w:p>
    <w:p>
      <w:r>
        <w:rPr>
          <w:b/>
        </w:rPr>
        <w:t>E. 3.1</w:t>
      </w:r>
    </w:p>
    <w:p>
      <w:r>
        <w:t>Dans le cas d’espèce, l’intimée a mis un terme à ses prestations au 1er décembre 2020, au motif que le statu quo sine avait été atteint à cette date conformément aux avis de ses médecins-conseils, les Drs E _________ et G _________.</w:t>
      </w:r>
    </w:p>
    <w:p>
      <w:r>
        <w:rPr>
          <w:b/>
        </w:rPr>
        <w:t>E. 3.1.1</w:t>
      </w:r>
    </w:p>
    <w:p>
      <w:r>
        <w:t>Dans un premier temps, il sied de relever que l’absence de signature ne permet pas de nier la valeur probante des rapports des médecins-conseils, dès lors qu’il s’agit d’un aspect strictement formel et non d’un élément déterminant du point de vue jurisprudentiel (ATF 125 V 351). Quant à l’erreur de traduction mentionnée par le recourant s’agissant de l’appréciation du Dr G _________, elle n’a pas de conséquences sur les conclusions médicales de ce dernier et ne saurait constituer un motif permettant d’écarter ce rapport. En outre, la Cour observe que même s’ils ne discutent pas expressément les avis des Drs C _________ et D _________ dans leurs appréciations respectives, les médecins-conseils ont eu à leur disposition l’intégralité du dossier de l’assuré afin de prendre position en toute connaissance de cause. Enfin, un examen personnel de l’assuré n’était pas nécessaire dès lors que le dossier contenait suffisamment d'appréciations médicales établies sur la base d'un examen concret (cf. arrêt du Tribunal fédéral 8C_469/2020 du 26 mai 2021 consid. 3.2 et les références). En définitive, la Cour ne saurait écarter les rapports des médecins-conseils sur la base de ces griefs.</w:t>
      </w:r>
    </w:p>
    <w:p>
      <w:r>
        <w:rPr>
          <w:b/>
        </w:rPr>
        <w:t>E. 3.1.2</w:t>
      </w:r>
    </w:p>
    <w:p>
      <w:r>
        <w:t>Dans leurs avis concordants, les Drs E _________ et G _________, tous deux spécialistes en chirurgie orthopédique et traumatologie, dotés de connaissances approfondies des affections et des traumatismes de l’appareil locomoteur ainsi que de leurs séquelles, ont constaté que l’IRM du genou droit du 28 septembre 2020 avait mis en évidence des troubles dégénératifs avancés, avec une ostéophytose marquée, une atteinte cartilagineuse conséquente (chondrolyse complète) et une lésion complexe du ménisque interne avec une fissuration horizontale. La remarque du recourant sur l’utilisation par le Dr E _________ du terme radiographie au lieu d’IRM (en p. 11 du recours) est sans pertinence ; il s’agit dans les deux cas d’examen radiologique ; en outre, dans son courrier du 16 novembre 2020 à la Dresse F _________, le Dr D _________ avait également indiqué qu’il avait « fait faire des radiographies du genou droit » de l’assuré. Il ne s’agit donc pas d’une erreur décisive. Dans son appréciation, le Dr G _________ a précisé que la lésion complexe du ménisque interne avec une fissuration horizontale était typique d’un problème d’usure et ne provenait pas de l’accident du 15 septembre 2020. Rien ne vient contredire cette affirmation. Au contraire, une simple recherche sur des sites médicaux permet de</w:t>
      </w:r>
    </w:p>
    <w:p>
      <w:r>
        <w:t>- 11 - confirmer que les lésions (déchirures ou fissures) dégénératives, qui surviennent de manière progressive habituellement chez des patients de plus de quarante ans, sont souvent horizontales (cf. https://www.chirurgie-hanchegenou.fr/lesions-meniscales) et touchent plus volontiers le ménisque interne (cf. https://www.iml.care, rubrique Soigner, article Que faire en cas de fissure de votre ménisque ?). En outre, force est de constater que dans ses conclusions, le radiologue n’a retenu que des dégénérescences et n’a observé aucune lésion franche du ménisque ni lésion des ligaments. C’est l’état dégénératif global du genou droit qui a conduit le Dr D _________ à proposer la mise en place d’une prothèse totale, comme cela ressort du son courrier du 10 novembre 2020 à la Dresse F _________ (« En conclusion, Monsieur X _________ souffre d’une gonarthrose varisante droite décompensée pour laquelle je lui propose une arthroplastie totale) et du protocole opératoire qui mentionne le diagnostic de gonarthrose droite et non celui de lésion du ménisque interne. En effet, comme l’a expliqué le Dr G _________, même sans l’accident, l’articulation était si fortement arthrosée qu’elle aurait fini par nécessiter la mise en place d’une prothèse totale. Selon les médecins-conseils, l’accident n’a fait que déclencher le problème plus tôt. Cela rejoint l’avis du Dr D _________ lorsqu’il indique que l’accident a décompensé la maladie arthrosique préexistante, ne laissant pas d’autre choix que d’opérer. Que cette décompensation soit simple ou aiguë n’est pas relevant, puisque le genou aurait de toute façon dû être opéré à terme. Pour sa part, dans ses rapports, notamment celui du 12 mai 2021, le Dr C _________ s’est contenté d’affirmer que l’opération du 4 décembre 2020 était en lien avec l’accident et que l’entorse subie à l’occasion de celui-ci était à l’origine de la lésion méniscale interne, sans expliquer quelles constatations objectives permettaient de retenir une telle origine accidentelle. Le reproche émis par le recourant à l’encontre des avis des médecins-conseils, plus particulièrement de celui du Dr E _________ qui n’aurait pas établi, au degré de la vraisemblance prépondérante, que la lésion vue à l’IRM était antérieure à l’événement traumatique, peut ainsi être retourné contre le Dr C _________ qui n’a pas étayé ses conclusions du point de vue médical. Son avis ne saurait suffire à retenir, au degré de la vraisemblance prépondérante, un lien de causalité naturelle entre l’événement traumatique et les lésions présentées par le recourant à son genou droit.</w:t>
      </w:r>
    </w:p>
    <w:p>
      <w:r>
        <w:rPr>
          <w:b/>
        </w:rPr>
        <w:t>E. 4</w:t>
      </w:r>
    </w:p>
    <w:p>
      <w:r>
        <w:t>Mal fondé, le recours est rejeté et la décision sur opposition du 10 mars 2022 confirmant la décision du 16 mars 2021 mettant fin aux prestations au 1er décembre 2020 est confirmée. Le dossier étant suffisamment clair et probant, il n’y a pas lieu mettre en</w:t>
      </w:r>
    </w:p>
    <w:p>
      <w:r>
        <w:t>- 12 - œuvre de plus amples mesures d’instruction, telle que l’expertise requise par le recourant (sur l’appréciation anticipée des preuves : ATF 145 I 167 consid.4.1).</w:t>
      </w:r>
    </w:p>
    <w:p>
      <w:r>
        <w:rPr>
          <w:b/>
        </w:rPr>
        <w:t>E. 4.1</w:t>
      </w:r>
    </w:p>
    <w:p>
      <w:r>
        <w:t>La procédure est gratuite (art. 61 let. fbis LPGA), la loi spéciale, en l’occurrence la LAA, ne prévoyant pas le prélèvement de frais.</w:t>
      </w:r>
    </w:p>
    <w:p>
      <w:r>
        <w:rPr>
          <w:b/>
        </w:rPr>
        <w:t>E. 4.2</w:t>
      </w:r>
    </w:p>
    <w:p>
      <w:r>
        <w:t>Vu le sort du litige, il n’est pas alloué de dépens.</w:t>
      </w:r>
    </w:p>
    <w:p>
      <w:r>
        <w:t>Prononce</w:t>
      </w:r>
    </w:p>
    <w:p>
      <w:r>
        <w:t>1. Le recours est rejeté. 2. Il n'est pas perçu de frais, ni alloué de dépens.</w:t>
      </w:r>
    </w:p>
    <w:p>
      <w:r>
        <w:t>Sion, le 23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